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26DD8" w14:textId="77777777" w:rsidR="005F3CFA" w:rsidRDefault="005F3CFA" w:rsidP="005F3CF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67CB224" w14:textId="77777777" w:rsidR="005F3CFA" w:rsidRDefault="005F3CFA" w:rsidP="005F3CF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18CACB2D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6E13B6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9B02E16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6E4FC1F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9A93476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4E6ECD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AFDA9CF" w14:textId="77777777" w:rsidR="005F3CFA" w:rsidRDefault="005F3CFA" w:rsidP="005F3CFA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40681D13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530488D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85C4394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699766E" w14:textId="77777777" w:rsidR="005F3CFA" w:rsidRDefault="005F3CFA" w:rsidP="005F3CF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86148DB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734CCCE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FA1CD1B" w14:textId="77777777" w:rsidR="005F3CFA" w:rsidRDefault="005F3CFA" w:rsidP="005F3CFA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7D466F94" w14:textId="77777777" w:rsidR="005F3CFA" w:rsidRDefault="005F3CFA" w:rsidP="005F3CF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2337AD4" w14:textId="388E218E" w:rsidR="005F3CFA" w:rsidRDefault="005F3CFA" w:rsidP="005F3C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”Стратегиялы</w:t>
      </w:r>
      <w:r w:rsidR="00B461D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қ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басқару”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5BFBC672" w14:textId="77777777" w:rsidR="005F3CFA" w:rsidRDefault="005F3CFA" w:rsidP="005F3CF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7М04112-Менеджмент  мамандығы</w:t>
      </w:r>
    </w:p>
    <w:p w14:paraId="64F8DC6D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2D39B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0BB51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FE3A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83CD6C8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08861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0CAA2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E92BF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34824E7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BC960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AD4316F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792D37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C8722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D0B7A2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219DCA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AAF2359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EC0CC9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B353D0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A30F68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92CF23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216110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95534B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A92BBA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FF6359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933302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18C04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96050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A4B496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54B3A21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01AB5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51676DB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DA7205" w14:textId="77777777" w:rsidR="005F3CFA" w:rsidRDefault="005F3CFA" w:rsidP="005F3CFA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550813" w14:textId="77777777" w:rsidR="005F3CFA" w:rsidRDefault="005F3CFA" w:rsidP="005F3CFA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5F3CFA" w:rsidSect="005F3CFA"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523AE13" w14:textId="77777777" w:rsidR="005F3CFA" w:rsidRDefault="005F3CFA" w:rsidP="005F3CFA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04D9DB55" w14:textId="77777777" w:rsidR="005F3CFA" w:rsidRDefault="005F3CFA" w:rsidP="005F3CFA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4C009D8" w14:textId="77777777" w:rsidR="005F3CFA" w:rsidRDefault="005F3CFA" w:rsidP="005F3CFA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464685A0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81230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7292CC3" w14:textId="77777777" w:rsidR="005F3CFA" w:rsidRDefault="005F3CFA" w:rsidP="005F3CFA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1A72CA7" w14:textId="77777777" w:rsidR="005F3CFA" w:rsidRDefault="005F3CFA" w:rsidP="005F3CF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568C726" w14:textId="07FEFA37" w:rsidR="005F3CFA" w:rsidRDefault="005F3CFA" w:rsidP="005F3CFA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”Стратегиялық  басқару”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4FACFDC1" w14:textId="77777777" w:rsidR="005F3CFA" w:rsidRDefault="005F3CFA" w:rsidP="005F3CF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A8FC62E" w14:textId="77777777" w:rsidR="005F3CFA" w:rsidRDefault="005F3CFA" w:rsidP="005F3CFA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5F3CFA" w:rsidSect="005F3CFA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  10 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38B2B039" w14:textId="77777777" w:rsidR="005F3CFA" w:rsidRDefault="005F3CFA" w:rsidP="005F3C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  <w:lastRenderedPageBreak/>
        <w:t>Кіріспе</w:t>
      </w:r>
    </w:p>
    <w:p w14:paraId="3A1F488F" w14:textId="77777777" w:rsidR="005F3CFA" w:rsidRDefault="005F3CFA" w:rsidP="005F3C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</w:p>
    <w:p w14:paraId="5D2F6539" w14:textId="3FAA2552" w:rsidR="005F3CFA" w:rsidRDefault="005F3CFA" w:rsidP="005F3CFA">
      <w:pPr>
        <w:jc w:val="both"/>
        <w:rPr>
          <w:rFonts w:ascii="Times New Roman" w:hAnsi="Times New Roman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  <w:t>”Стратегиялық басқару”</w:t>
      </w:r>
      <w:r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val="kk-KZ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36"/>
          <w:szCs w:val="36"/>
          <w:lang w:val="kk-KZ"/>
        </w:rPr>
        <w:t>ә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val="kk-KZ"/>
        </w:rPr>
        <w:t>ні</w:t>
      </w:r>
      <w:r>
        <w:rPr>
          <w:rFonts w:ascii="Times New Roman" w:eastAsia="Times New Roman" w:hAnsi="Times New Roman" w:cs="Times New Roman"/>
          <w:bCs/>
          <w:color w:val="000000"/>
          <w:spacing w:val="38"/>
          <w:sz w:val="36"/>
          <w:szCs w:val="36"/>
          <w:lang w:val="kk-KZ"/>
        </w:rPr>
        <w:t xml:space="preserve"> 7М04112-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36"/>
          <w:szCs w:val="36"/>
          <w:lang w:val="kk-KZ"/>
        </w:rPr>
        <w:t>Менеджмент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магистранттары</w:t>
      </w:r>
      <w:r>
        <w:rPr>
          <w:rFonts w:ascii="Times New Roman" w:eastAsia="Times New Roman" w:hAnsi="Times New Roman" w:cs="Times New Roman"/>
          <w:color w:val="000000"/>
          <w:spacing w:val="60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н:</w:t>
      </w:r>
      <w:r>
        <w:rPr>
          <w:rFonts w:ascii="Times New Roman" w:eastAsia="Times New Roman" w:hAnsi="Times New Roman" w:cs="Times New Roman"/>
          <w:color w:val="000000"/>
          <w:spacing w:val="60"/>
          <w:sz w:val="36"/>
          <w:szCs w:val="36"/>
          <w:lang w:val="kk-KZ"/>
        </w:rPr>
        <w:t xml:space="preserve"> </w:t>
      </w:r>
      <w:r w:rsidRPr="000C7488">
        <w:rPr>
          <w:rFonts w:ascii="Times New Roman" w:hAnsi="Times New Roman" w:cs="Times New Roman"/>
          <w:sz w:val="36"/>
          <w:szCs w:val="36"/>
          <w:lang w:val="kk-KZ"/>
        </w:rPr>
        <w:t>20.01.2025 – 03.05.2025</w:t>
      </w:r>
      <w:r>
        <w:rPr>
          <w:rFonts w:ascii="Times New Roman" w:hAnsi="Times New Roman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ығында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kk-KZ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ытылады .  Жин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ақ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36"/>
          <w:szCs w:val="36"/>
          <w:lang w:val="kk-KZ"/>
        </w:rPr>
        <w:t xml:space="preserve">ауызша  дәстүрлі </w:t>
      </w:r>
      <w:r>
        <w:rPr>
          <w:b/>
          <w:bCs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>- офлайн өткізіледі (</w:t>
      </w:r>
      <w:r>
        <w:rPr>
          <w:rFonts w:ascii="Times New Roman" w:hAnsi="Times New Roman" w:cs="Times New Roman"/>
          <w:sz w:val="36"/>
          <w:szCs w:val="36"/>
          <w:lang w:val="kk-KZ"/>
        </w:rPr>
        <w:t>Емтихан сессиясы</w:t>
      </w: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</w:t>
      </w:r>
      <w:r w:rsidRPr="005F3CFA">
        <w:rPr>
          <w:rFonts w:ascii="Times New Roman" w:hAnsi="Times New Roman" w:cs="Times New Roman"/>
          <w:sz w:val="36"/>
          <w:szCs w:val="36"/>
          <w:lang w:val="kk-KZ"/>
        </w:rPr>
        <w:t>05.05.2025 – 24.05.2025</w:t>
      </w:r>
      <w:r>
        <w:rPr>
          <w:rFonts w:ascii="Times New Roman" w:hAnsi="Times New Roman"/>
          <w:sz w:val="36"/>
          <w:szCs w:val="36"/>
          <w:lang w:val="kk-KZ"/>
        </w:rPr>
        <w:t>)</w:t>
      </w:r>
    </w:p>
    <w:p w14:paraId="7E4B1C49" w14:textId="77777777" w:rsidR="005F3CFA" w:rsidRDefault="005F3CFA" w:rsidP="005F3CFA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228921E5" w14:textId="77777777" w:rsidR="005F3CFA" w:rsidRDefault="005F3CFA" w:rsidP="005F3CFA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1E60DF6" w14:textId="5B5EE2EF" w:rsidR="005F3CFA" w:rsidRDefault="005F3CFA" w:rsidP="005F3CFA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ауызша  жауап беру қажет. </w:t>
      </w:r>
    </w:p>
    <w:p w14:paraId="71B23995" w14:textId="77777777" w:rsidR="005F3CFA" w:rsidRDefault="005F3CFA" w:rsidP="005F3C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D57F135" w14:textId="77777777" w:rsidR="005F3CFA" w:rsidRDefault="005F3CFA" w:rsidP="005F3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магистранттар білуі тиіс: </w:t>
      </w:r>
    </w:p>
    <w:p w14:paraId="11CD5433" w14:textId="77777777" w:rsidR="005F3CFA" w:rsidRDefault="005F3CFA" w:rsidP="005F3C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2C8AF5F" w14:textId="528DE595" w:rsidR="005F3CFA" w:rsidRPr="005F3CFA" w:rsidRDefault="005F3CFA" w:rsidP="005F3CFA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5F3CF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kk-KZ" w:eastAsia="ru-RU"/>
          <w14:ligatures w14:val="none"/>
        </w:rPr>
        <w:t>стратегиялық басқару ғылыми негіздерін мен таңдаудың ғылыми құралдары негізінде стратегиялық менеджмент түсінігін түсіндіру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kk-KZ" w:eastAsia="ru-RU"/>
          <w14:ligatures w14:val="none"/>
        </w:rPr>
        <w:t>;</w:t>
      </w:r>
    </w:p>
    <w:p w14:paraId="1C9A335B" w14:textId="58B69367" w:rsidR="005F3CFA" w:rsidRPr="005F3CFA" w:rsidRDefault="005F3CFA" w:rsidP="005F3CFA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19528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kk-KZ" w:eastAsia="ru-RU"/>
          <w14:ligatures w14:val="none"/>
        </w:rPr>
        <w:t>стратегиялық талдаудың әртүрлі әдістері негізінде ұйымның қызметіне және оның сыртқы ортасына кәсіби және объективті талдау жүргізу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kk-KZ" w:eastAsia="ru-RU"/>
          <w14:ligatures w14:val="none"/>
        </w:rPr>
        <w:t>;</w:t>
      </w:r>
    </w:p>
    <w:p w14:paraId="0AEC182A" w14:textId="76232215" w:rsidR="005F3CFA" w:rsidRPr="005F3CFA" w:rsidRDefault="005F3CFA" w:rsidP="005F3CFA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19528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kk-KZ" w:eastAsia="ru-RU"/>
          <w14:ligatures w14:val="none"/>
        </w:rPr>
        <w:t>ұйымның стратегиясының тиімділігін бағалаудың заманауи құралдарын, басқару, экономикалық және әлеуметтік деректерді жинау, өңдеу және талдау әдістерін пайдалану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kk-KZ" w:eastAsia="ru-RU"/>
          <w14:ligatures w14:val="none"/>
        </w:rPr>
        <w:t>;</w:t>
      </w:r>
    </w:p>
    <w:p w14:paraId="6357D5A5" w14:textId="4E7CC524" w:rsidR="005F3CFA" w:rsidRPr="005F3CFA" w:rsidRDefault="005F3CFA" w:rsidP="005F3CFA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19528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kk-KZ" w:eastAsia="ru-RU"/>
          <w14:ligatures w14:val="none"/>
        </w:rPr>
        <w:t>турбулентті өзгерістер жағдайында ұйымның мақсаттарына қол жеткізуге мүмкіндік беретін стратегиялық балама және ұйымдық қамтамасыз ету жүйелерін қалыптастыру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kk-KZ" w:eastAsia="ru-RU"/>
          <w14:ligatures w14:val="none"/>
        </w:rPr>
        <w:t>;</w:t>
      </w:r>
    </w:p>
    <w:p w14:paraId="60B0E1EB" w14:textId="34C9B8DB" w:rsidR="005F3CFA" w:rsidRPr="005F3CFA" w:rsidRDefault="005F3CFA" w:rsidP="005F3CFA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19528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kk-KZ" w:eastAsia="ru-RU"/>
          <w14:ligatures w14:val="none"/>
        </w:rPr>
        <w:t>стратегиялық басқару құралдарын пайдалана отырып, ұйымның стратегиясын әзірлеу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kk-KZ" w:eastAsia="ru-RU"/>
          <w14:ligatures w14:val="none"/>
        </w:rPr>
        <w:t>.</w:t>
      </w:r>
    </w:p>
    <w:p w14:paraId="77FCBE07" w14:textId="77777777" w:rsidR="005F3CFA" w:rsidRDefault="005F3CFA" w:rsidP="005F3C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6130FAD" w14:textId="77777777" w:rsidR="005F3CFA" w:rsidRDefault="005F3CFA" w:rsidP="005F3CFA">
      <w:pPr>
        <w:tabs>
          <w:tab w:val="left" w:pos="900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</w:t>
      </w:r>
    </w:p>
    <w:p w14:paraId="60A9D475" w14:textId="5B88CE75" w:rsidR="005F3CFA" w:rsidRPr="005F3CFA" w:rsidRDefault="005F3CFA" w:rsidP="00B461DF">
      <w:pPr>
        <w:spacing w:line="254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>
        <w:rPr>
          <w:lang w:val="kk-KZ"/>
        </w:rPr>
        <w:tab/>
      </w:r>
      <w:r w:rsidR="00B461DF">
        <w:rPr>
          <w:lang w:val="kk-KZ"/>
        </w:rPr>
        <w:t xml:space="preserve">1. </w:t>
      </w: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Стратегиялық   басқарудың ғылыми негіздері</w:t>
      </w:r>
    </w:p>
    <w:p w14:paraId="6E487B05" w14:textId="77777777" w:rsidR="005F3CFA" w:rsidRPr="005F3CFA" w:rsidRDefault="005F3CFA" w:rsidP="00B461DF">
      <w:pPr>
        <w:spacing w:line="254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kk-KZ" w:bidi="kk-KZ"/>
          <w14:ligatures w14:val="none"/>
        </w:rPr>
      </w:pP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kk-KZ" w:bidi="kk-KZ"/>
          <w14:ligatures w14:val="none"/>
        </w:rPr>
        <w:t>2.Стратегияны дайындаудың кезеңдері</w:t>
      </w:r>
    </w:p>
    <w:p w14:paraId="6DA46BF2" w14:textId="77777777" w:rsidR="005F3CFA" w:rsidRPr="005F3CFA" w:rsidRDefault="005F3CFA" w:rsidP="005F3CFA">
      <w:pPr>
        <w:spacing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3.Мекеменің сыртқы ортасы</w:t>
      </w:r>
    </w:p>
    <w:p w14:paraId="57CE09F0" w14:textId="77777777" w:rsidR="005F3CFA" w:rsidRPr="005F3CFA" w:rsidRDefault="005F3CFA" w:rsidP="005F3CFA">
      <w:pPr>
        <w:spacing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4.Мекеменің сыртқы ортасын талдау</w:t>
      </w:r>
    </w:p>
    <w:p w14:paraId="1660331A" w14:textId="77777777" w:rsidR="005F3CFA" w:rsidRPr="005F3CFA" w:rsidRDefault="005F3CFA" w:rsidP="005F3CFA">
      <w:pPr>
        <w:spacing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5.Мекеменің сыртқы ортасын бағалау</w:t>
      </w:r>
    </w:p>
    <w:p w14:paraId="03952A0A" w14:textId="77777777" w:rsidR="005F3CFA" w:rsidRPr="005F3CFA" w:rsidRDefault="005F3CFA" w:rsidP="005F3CFA">
      <w:pPr>
        <w:spacing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6.Компанияның ішкі ортасын талдау және бағалау</w:t>
      </w:r>
    </w:p>
    <w:p w14:paraId="0C7A80F3" w14:textId="77777777" w:rsidR="005F3CFA" w:rsidRPr="005F3CFA" w:rsidRDefault="005F3CFA" w:rsidP="005F3CFA">
      <w:pPr>
        <w:spacing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7.</w:t>
      </w: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Компанияның базалық стратегиясы</w:t>
      </w:r>
    </w:p>
    <w:p w14:paraId="52B1B069" w14:textId="77777777" w:rsidR="005F3CFA" w:rsidRPr="005F3CFA" w:rsidRDefault="005F3CFA" w:rsidP="005F3CFA">
      <w:pPr>
        <w:spacing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8.</w:t>
      </w: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Компанияның стратегиялық бәсекелестігі</w:t>
      </w:r>
    </w:p>
    <w:p w14:paraId="05C98696" w14:textId="77777777" w:rsidR="005F3CFA" w:rsidRPr="005F3CFA" w:rsidRDefault="005F3CFA" w:rsidP="005F3CFA">
      <w:pPr>
        <w:spacing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9.Компанияны әртараптандырудың стратегиясы мен бәсекелестік артықшылықтары</w:t>
      </w:r>
    </w:p>
    <w:p w14:paraId="1F3CE530" w14:textId="77777777" w:rsidR="005F3CFA" w:rsidRPr="005F3CFA" w:rsidRDefault="005F3CFA" w:rsidP="005F3CFA">
      <w:pPr>
        <w:spacing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10.Компанияны әртараптандырудың стратегиясын бағалау</w:t>
      </w:r>
    </w:p>
    <w:p w14:paraId="7E311ADB" w14:textId="77777777" w:rsidR="005F3CFA" w:rsidRPr="005F3CFA" w:rsidRDefault="005F3CFA" w:rsidP="005F3CFA">
      <w:pPr>
        <w:spacing w:line="254" w:lineRule="auto"/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  <w:r w:rsidRPr="005F3CFA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11.</w:t>
      </w:r>
      <w:r w:rsidRPr="005F3CFA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Стратегиялық өзгерістерді  басқару</w:t>
      </w:r>
    </w:p>
    <w:p w14:paraId="3CE03B25" w14:textId="77777777" w:rsidR="005F3CFA" w:rsidRPr="005F3CFA" w:rsidRDefault="005F3CFA" w:rsidP="005F3CFA">
      <w:pPr>
        <w:spacing w:line="254" w:lineRule="auto"/>
        <w:rPr>
          <w:kern w:val="0"/>
          <w:sz w:val="21"/>
          <w:szCs w:val="21"/>
          <w:lang w:val="kk-KZ"/>
          <w14:ligatures w14:val="none"/>
        </w:rPr>
      </w:pPr>
      <w:r w:rsidRPr="005F3CFA">
        <w:rPr>
          <w:kern w:val="0"/>
          <w:sz w:val="21"/>
          <w:szCs w:val="21"/>
          <w:lang w:val="kk-KZ"/>
          <w14:ligatures w14:val="none"/>
        </w:rPr>
        <w:t>12.Стратегиялық басқарудағы инновациялық тәсілдер</w:t>
      </w:r>
    </w:p>
    <w:p w14:paraId="0149D063" w14:textId="77777777" w:rsidR="005F3CFA" w:rsidRPr="005F3CFA" w:rsidRDefault="005F3CFA" w:rsidP="005F3CFA">
      <w:pPr>
        <w:spacing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13.Стратегияны тиімді жүзеге асыруда  ұйымдастыруды басқару</w:t>
      </w:r>
    </w:p>
    <w:p w14:paraId="07CC268F" w14:textId="77777777" w:rsidR="005F3CFA" w:rsidRPr="005F3CFA" w:rsidRDefault="005F3CFA" w:rsidP="005F3CFA">
      <w:pPr>
        <w:spacing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5F3C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14.Корпоративтік мәдениет және көшбасшылық-стратегияны жүзеге асырудың тиімділігі</w:t>
      </w:r>
    </w:p>
    <w:p w14:paraId="3DEFDF18" w14:textId="77777777" w:rsidR="005F3CFA" w:rsidRPr="005F3CFA" w:rsidRDefault="005F3CFA" w:rsidP="005F3CFA">
      <w:pPr>
        <w:spacing w:line="254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5F3CFA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lastRenderedPageBreak/>
        <w:t>15.</w:t>
      </w:r>
      <w:r w:rsidRPr="005F3CFA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Стратегиялық басқаруды жетілдірудің бағыттары</w:t>
      </w:r>
    </w:p>
    <w:p w14:paraId="588B0C23" w14:textId="364E61F7" w:rsidR="005F3CFA" w:rsidRDefault="005F3CFA" w:rsidP="00B461DF">
      <w:pPr>
        <w:pStyle w:val="a7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5D7A52" w14:textId="77777777" w:rsidR="005F3CFA" w:rsidRDefault="005F3CFA" w:rsidP="005F3C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2A934D" w14:textId="4FCC2B42" w:rsidR="005F3CFA" w:rsidRPr="0027393D" w:rsidRDefault="005F3CFA" w:rsidP="005F3C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393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Стратегиялық </w:t>
      </w:r>
      <w:r w:rsidRPr="0027393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басқару”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пәні бойынша емтиханның бағдарламалық сұрақтары:</w:t>
      </w:r>
    </w:p>
    <w:p w14:paraId="7661BFF2" w14:textId="77777777" w:rsidR="005F3CFA" w:rsidRDefault="005F3CFA" w:rsidP="005F3C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28B321C" w14:textId="5AA0C48C" w:rsidR="005F3CFA" w:rsidRPr="005F3CFA" w:rsidRDefault="005F3CFA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Стратегиялық   </w:t>
      </w:r>
      <w:proofErr w:type="spellStart"/>
      <w:r w:rsidRPr="00B36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басқарудың</w:t>
      </w:r>
      <w:proofErr w:type="spellEnd"/>
      <w:r w:rsidRPr="00B36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36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ғылыми</w:t>
      </w:r>
      <w:proofErr w:type="spellEnd"/>
      <w:r w:rsidRPr="00B36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36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негіздері</w:t>
      </w:r>
      <w:proofErr w:type="spellEnd"/>
    </w:p>
    <w:p w14:paraId="7EE27C54" w14:textId="675B7E05" w:rsidR="005F3CFA" w:rsidRPr="005F3CFA" w:rsidRDefault="005F3CFA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186612420"/>
      <w:r>
        <w:rPr>
          <w:rFonts w:ascii="Times New Roman" w:hAnsi="Times New Roman" w:cs="Times New Roman"/>
          <w:bCs/>
          <w:sz w:val="24"/>
          <w:szCs w:val="24"/>
          <w:lang w:val="kk-KZ" w:eastAsia="ru-RU"/>
        </w:rPr>
        <w:t>Дамыған елдердің стратегиялық басқаруы</w:t>
      </w:r>
      <w:bookmarkEnd w:id="0"/>
    </w:p>
    <w:p w14:paraId="2B169F1E" w14:textId="75555AF3" w:rsidR="005F3CFA" w:rsidRPr="005F3CFA" w:rsidRDefault="005F3CFA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86612515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kk-KZ" w:bidi="kk-KZ"/>
        </w:rPr>
        <w:t>Стратегияны дайындаудың кезеңдері</w:t>
      </w:r>
      <w:bookmarkEnd w:id="1"/>
    </w:p>
    <w:p w14:paraId="1A0DBE9F" w14:textId="20C21468" w:rsidR="005F3CFA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186612844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Стратегияның кезеңдерін анықтау</w:t>
      </w:r>
      <w:bookmarkEnd w:id="2"/>
    </w:p>
    <w:p w14:paraId="10AD68B6" w14:textId="0FC1A125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86613153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Мекеменің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ішкі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ортасы</w:t>
      </w:r>
      <w:bookmarkEnd w:id="3"/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 талдау және бағалау</w:t>
      </w:r>
    </w:p>
    <w:p w14:paraId="2541FC91" w14:textId="414DEF68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 w:bidi="kk-KZ"/>
        </w:rPr>
        <w:t>Саланың  негізгі экономикалық көрсеткіштерін талдау және бағалау</w:t>
      </w:r>
    </w:p>
    <w:p w14:paraId="6E8B0C04" w14:textId="01D10390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22CE7">
        <w:rPr>
          <w:lang w:val="kk-KZ"/>
        </w:rPr>
        <w:t>М. Портердің «Бәсекелестіктің бес күші» моделі</w:t>
      </w:r>
    </w:p>
    <w:p w14:paraId="71B513FB" w14:textId="724B1A64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86613411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М.Портердің 5-ші моделі көмегімен интенсивті бәсекелестікті бағалау</w:t>
      </w:r>
      <w:bookmarkEnd w:id="4"/>
    </w:p>
    <w:p w14:paraId="7A9BC780" w14:textId="687914C4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Стратегиялық жоспарлау</w:t>
      </w:r>
    </w:p>
    <w:p w14:paraId="3C3D2478" w14:textId="0A1A2B1B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. </w:t>
      </w:r>
      <w:r w:rsidRPr="00677939">
        <w:rPr>
          <w:lang w:val="kk-KZ"/>
        </w:rPr>
        <w:t>PESTталдау мен SWOT-талдау әдістері</w:t>
      </w:r>
    </w:p>
    <w:p w14:paraId="214005F2" w14:textId="16FC2274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57CD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Компанияның  сыртқы  ортасын талдау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және бағалау</w:t>
      </w:r>
    </w:p>
    <w:p w14:paraId="299A231A" w14:textId="22EA4BC0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_Hlk186613756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kk-KZ" w:bidi="kk-KZ"/>
        </w:rPr>
        <w:t>Шығынды стратегиялық талдау және құндылықты құру тізбегін бағалау</w:t>
      </w:r>
      <w:bookmarkEnd w:id="5"/>
    </w:p>
    <w:p w14:paraId="2661BC95" w14:textId="0E8C62AB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_Hlk186550344"/>
      <w:r w:rsidRPr="00B305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Компанияның базалық стратегиясы</w:t>
      </w:r>
      <w:bookmarkEnd w:id="6"/>
    </w:p>
    <w:p w14:paraId="3D70D017" w14:textId="7DAA9575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_Hlk186613919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Базалық стратегияның артықшылық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тарын 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анықтау: классикалық, бейімділік, қалыптастырушы, болжамдылығы</w:t>
      </w:r>
      <w:bookmarkEnd w:id="7"/>
    </w:p>
    <w:p w14:paraId="7A7EB873" w14:textId="4419EBD9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_Hlk186550360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Компанияның стратегиялық бәсекелестігі</w:t>
      </w:r>
      <w:bookmarkEnd w:id="8"/>
    </w:p>
    <w:p w14:paraId="61FB5EDA" w14:textId="40D4E923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_Hlk186614145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Компанияның стратегиялық бәсекелестігін талдау</w:t>
      </w:r>
      <w:bookmarkEnd w:id="9"/>
    </w:p>
    <w:p w14:paraId="111953FE" w14:textId="49BDF867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_Hlk186550373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 әртараптандырудың стратегиясы мен бәсекелестік артықшылықтары</w:t>
      </w:r>
      <w:bookmarkEnd w:id="10"/>
    </w:p>
    <w:p w14:paraId="16C462F1" w14:textId="3F324F67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11" w:name="_Hlk186614961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Әртараптандырудың стратегиясының мүмкіндіктерін анықтау</w:t>
      </w:r>
      <w:bookmarkEnd w:id="11"/>
    </w:p>
    <w:p w14:paraId="3B8FF5A1" w14:textId="75BC7B5C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17642">
        <w:rPr>
          <w:lang w:val="kk-KZ"/>
        </w:rPr>
        <w:t>Қазақстанның дамыған 30 елдің қатарына кіру тұжырымдамасындағы ұзақмерзімді басымдық бағыттары</w:t>
      </w:r>
    </w:p>
    <w:p w14:paraId="5F85208A" w14:textId="37ACFE8A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ҚР  </w:t>
      </w:r>
      <w:proofErr w:type="spellStart"/>
      <w:r>
        <w:t>ұзақмерзімді</w:t>
      </w:r>
      <w:proofErr w:type="spellEnd"/>
      <w:r>
        <w:t xml:space="preserve"> </w:t>
      </w:r>
      <w:proofErr w:type="spellStart"/>
      <w:r>
        <w:t>басымдық</w:t>
      </w:r>
      <w:proofErr w:type="spellEnd"/>
      <w:r>
        <w:t xml:space="preserve"> </w:t>
      </w:r>
      <w:proofErr w:type="spellStart"/>
      <w:r>
        <w:t>бағыттары</w:t>
      </w:r>
      <w:proofErr w:type="spellEnd"/>
    </w:p>
    <w:p w14:paraId="13DB50AE" w14:textId="5235CE38" w:rsidR="00317642" w:rsidRPr="00FA2141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12" w:name="_Hlk186550409"/>
      <w:r w:rsidRPr="00FA2141">
        <w:rPr>
          <w:rFonts w:ascii="Times New Roman" w:hAnsi="Times New Roman" w:cs="Times New Roman"/>
          <w:bCs/>
          <w:sz w:val="24"/>
          <w:szCs w:val="24"/>
          <w:lang w:val="kk-KZ"/>
        </w:rPr>
        <w:t>Стратегиялық өзгерістерді  басқару</w:t>
      </w:r>
      <w:bookmarkEnd w:id="12"/>
    </w:p>
    <w:p w14:paraId="2882F4EB" w14:textId="7312AA21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13" w:name="_Hlk186615425"/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Компаниядағы өзгерістерді басқару</w:t>
      </w:r>
      <w:bookmarkEnd w:id="13"/>
    </w:p>
    <w:p w14:paraId="5A2BF1B0" w14:textId="3DBC992E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_Hlk186550424"/>
      <w:r>
        <w:rPr>
          <w:lang w:val="kk-KZ"/>
        </w:rPr>
        <w:t>Стратегиялық басқарудағы инновациялық тәсілдер</w:t>
      </w:r>
      <w:bookmarkEnd w:id="14"/>
    </w:p>
    <w:p w14:paraId="73D73491" w14:textId="558F10A4" w:rsidR="00317642" w:rsidRPr="00317642" w:rsidRDefault="00317642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_Hlk186615786"/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Инновациялық тәсілдердің тиімділігі</w:t>
      </w:r>
      <w:bookmarkEnd w:id="15"/>
    </w:p>
    <w:p w14:paraId="7CC81D1A" w14:textId="4D8E1D52" w:rsidR="00317642" w:rsidRPr="00B461DF" w:rsidRDefault="00B461DF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16" w:name="_Hlk186550442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 тиімді жүзеге асыруда  ұйымдастыруды басқару</w:t>
      </w:r>
      <w:bookmarkEnd w:id="16"/>
    </w:p>
    <w:p w14:paraId="0B930E9E" w14:textId="23A46F3C" w:rsidR="00B461DF" w:rsidRPr="00B461DF" w:rsidRDefault="00B461DF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 тиімді жүзеге асыруда  ұйымдастыру</w:t>
      </w:r>
    </w:p>
    <w:p w14:paraId="2856AEEA" w14:textId="7BFF07B4" w:rsidR="00B461DF" w:rsidRPr="00B461DF" w:rsidRDefault="00B461DF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17" w:name="_Hlk186550481"/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Корпоративтік мәдениет және көшбасшылық</w:t>
      </w:r>
      <w:r w:rsidRPr="005703F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</w:t>
      </w: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 жүзеге асырудың тиімді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лігі</w:t>
      </w:r>
      <w:bookmarkEnd w:id="17"/>
    </w:p>
    <w:p w14:paraId="112A89A0" w14:textId="19FBF077" w:rsidR="00B461DF" w:rsidRPr="00B461DF" w:rsidRDefault="00B461DF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B36B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 жүзеге асыруда компанияның корпоративтік мәдениетін бағалау</w:t>
      </w:r>
    </w:p>
    <w:p w14:paraId="75FA798E" w14:textId="55285EFE" w:rsidR="00B461DF" w:rsidRPr="00B461DF" w:rsidRDefault="00B461DF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18" w:name="_Hlk186550498"/>
      <w:r w:rsidRPr="005703FB">
        <w:rPr>
          <w:rFonts w:ascii="Times New Roman" w:hAnsi="Times New Roman" w:cs="Times New Roman"/>
          <w:bCs/>
          <w:sz w:val="24"/>
          <w:szCs w:val="24"/>
          <w:lang w:val="kk-KZ"/>
        </w:rPr>
        <w:t>Стратегиялық басқаруды жетілдірудің бағыттары</w:t>
      </w:r>
      <w:bookmarkEnd w:id="18"/>
    </w:p>
    <w:p w14:paraId="1229D00C" w14:textId="691F0678" w:rsidR="00B461DF" w:rsidRPr="005F3CFA" w:rsidRDefault="00B461DF" w:rsidP="005F3CFA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703FB">
        <w:rPr>
          <w:rFonts w:ascii="Times New Roman" w:hAnsi="Times New Roman" w:cs="Times New Roman"/>
          <w:bCs/>
          <w:sz w:val="24"/>
          <w:szCs w:val="24"/>
          <w:lang w:val="kk-KZ"/>
        </w:rPr>
        <w:t>Стратегиялық басқаруды жетілдірудің тиімділігі</w:t>
      </w:r>
    </w:p>
    <w:p w14:paraId="510E296C" w14:textId="77777777" w:rsidR="005F3CFA" w:rsidRDefault="005F3CFA" w:rsidP="005F3C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757F87E" w14:textId="77777777" w:rsidR="005F3CFA" w:rsidRDefault="005F3CFA" w:rsidP="005F3C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34ED2" w14:textId="77777777" w:rsidR="00B461DF" w:rsidRDefault="00B461DF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5A813B83" w14:textId="77777777" w:rsidR="00A05F0F" w:rsidRDefault="00A05F0F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sectPr w:rsidR="00A05F0F" w:rsidSect="00A05F0F">
          <w:pgSz w:w="11906" w:h="16838"/>
          <w:pgMar w:top="571" w:right="1291" w:bottom="825" w:left="850" w:header="0" w:footer="0" w:gutter="0"/>
          <w:cols w:space="708"/>
          <w:docGrid w:linePitch="299"/>
        </w:sectPr>
      </w:pPr>
    </w:p>
    <w:p w14:paraId="160A6D5C" w14:textId="77777777" w:rsidR="00B461DF" w:rsidRDefault="00B461DF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0CA17647" w14:textId="40F1C474" w:rsidR="005F3CFA" w:rsidRPr="002C3B1F" w:rsidRDefault="005F3CFA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БАҒАЛАУ САЯСАТЫ</w:t>
      </w:r>
    </w:p>
    <w:p w14:paraId="29434C46" w14:textId="77777777" w:rsidR="005F3CFA" w:rsidRPr="008D3458" w:rsidRDefault="005F3CFA" w:rsidP="005F3CF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BAK/MAG/DOC СТАНДАРТЫ ЕМТИХАН: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АУЫЗША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685"/>
        <w:gridCol w:w="3410"/>
        <w:gridCol w:w="2469"/>
        <w:gridCol w:w="1520"/>
      </w:tblGrid>
      <w:tr w:rsidR="005F3CFA" w:rsidRPr="00D87371" w14:paraId="783B2E28" w14:textId="77777777" w:rsidTr="002B057E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5D1E20A" w14:textId="77777777" w:rsidR="005F3CFA" w:rsidRPr="00D87371" w:rsidRDefault="005F3CFA" w:rsidP="002B057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4D7C" w14:textId="77777777" w:rsidR="005F3CFA" w:rsidRPr="00D87371" w:rsidRDefault="005F3CFA" w:rsidP="002B057E">
            <w:pPr>
              <w:widowControl w:val="0"/>
              <w:spacing w:before="10" w:line="240" w:lineRule="auto"/>
              <w:ind w:left="103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3E7E5C33" w14:textId="77777777" w:rsidR="005F3CFA" w:rsidRPr="00D87371" w:rsidRDefault="005F3CFA" w:rsidP="002B057E">
            <w:pPr>
              <w:widowControl w:val="0"/>
              <w:spacing w:line="239" w:lineRule="auto"/>
              <w:ind w:left="103" w:right="14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3D551" w14:textId="77777777" w:rsidR="005F3CFA" w:rsidRPr="00D87371" w:rsidRDefault="005F3CFA" w:rsidP="002B057E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5F3CFA" w:rsidRPr="00D87371" w14:paraId="51963C5A" w14:textId="77777777" w:rsidTr="00B461DF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166BB68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3676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10C1" w14:textId="77777777" w:rsidR="005F3CFA" w:rsidRPr="00D87371" w:rsidRDefault="005F3CFA" w:rsidP="002B057E">
            <w:pPr>
              <w:widowControl w:val="0"/>
              <w:spacing w:before="19" w:line="222" w:lineRule="auto"/>
              <w:ind w:left="818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68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8551" w14:textId="77777777" w:rsidR="005F3CFA" w:rsidRPr="00D87371" w:rsidRDefault="005F3CFA" w:rsidP="002B057E">
            <w:pPr>
              <w:widowControl w:val="0"/>
              <w:spacing w:before="19" w:line="222" w:lineRule="auto"/>
              <w:ind w:left="859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6007" w14:textId="77777777" w:rsidR="005F3CFA" w:rsidRPr="00D87371" w:rsidRDefault="005F3CFA" w:rsidP="002B057E">
            <w:pPr>
              <w:widowControl w:val="0"/>
              <w:spacing w:before="19" w:line="222" w:lineRule="auto"/>
              <w:ind w:left="355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99BA" w14:textId="77777777" w:rsidR="005F3CFA" w:rsidRPr="00D87371" w:rsidRDefault="005F3CFA" w:rsidP="002B057E">
            <w:pPr>
              <w:widowControl w:val="0"/>
              <w:spacing w:before="19" w:line="222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5F3CFA" w:rsidRPr="00D87371" w14:paraId="19C7572F" w14:textId="77777777" w:rsidTr="00B461DF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B9622FD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F2AB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4AC9" w14:textId="77777777" w:rsidR="005F3CFA" w:rsidRPr="00D87371" w:rsidRDefault="005F3CFA" w:rsidP="002B057E">
            <w:pPr>
              <w:widowControl w:val="0"/>
              <w:spacing w:before="19" w:line="222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68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D17E" w14:textId="77777777" w:rsidR="005F3CFA" w:rsidRPr="00D87371" w:rsidRDefault="005F3CFA" w:rsidP="002B057E">
            <w:pPr>
              <w:widowControl w:val="0"/>
              <w:spacing w:before="19" w:line="222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ABC3" w14:textId="77777777" w:rsidR="005F3CFA" w:rsidRPr="00D87371" w:rsidRDefault="005F3CFA" w:rsidP="002B057E">
            <w:pPr>
              <w:widowControl w:val="0"/>
              <w:spacing w:before="19" w:line="222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1B46" w14:textId="77777777" w:rsidR="005F3CFA" w:rsidRPr="00D87371" w:rsidRDefault="005F3CFA" w:rsidP="002B057E">
            <w:pPr>
              <w:widowControl w:val="0"/>
              <w:spacing w:before="19" w:line="222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5388D" w14:textId="77777777" w:rsidR="005F3CFA" w:rsidRPr="00D87371" w:rsidRDefault="005F3CFA" w:rsidP="002B057E">
            <w:pPr>
              <w:widowControl w:val="0"/>
              <w:spacing w:before="19" w:line="222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5F3CFA" w:rsidRPr="00D87371" w14:paraId="712BE746" w14:textId="77777777" w:rsidTr="00B461DF">
        <w:trPr>
          <w:cantSplit/>
          <w:trHeight w:hRule="exact" w:val="3488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87760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5B8546C" w14:textId="77777777" w:rsidR="005F3CFA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–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8B9610" w14:textId="77777777" w:rsidR="005F3CFA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3508D40E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баллов </w:t>
            </w:r>
          </w:p>
          <w:p w14:paraId="2EBBFAD3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2D0B" w14:textId="77777777" w:rsidR="005F3CFA" w:rsidRPr="002C3B1F" w:rsidRDefault="005F3CFA" w:rsidP="002B057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</w:p>
          <w:p w14:paraId="0ED6E846" w14:textId="77777777" w:rsidR="005F3CFA" w:rsidRPr="00D87371" w:rsidRDefault="005F3CFA" w:rsidP="002B057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80D9" w14:textId="77777777" w:rsidR="005F3CFA" w:rsidRPr="00D87371" w:rsidRDefault="005F3CFA" w:rsidP="002B057E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0E03E" w14:textId="77777777" w:rsidR="005F3CFA" w:rsidRPr="00D87371" w:rsidRDefault="005F3CFA" w:rsidP="002B057E">
            <w:pPr>
              <w:widowControl w:val="0"/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79B71" w14:textId="77777777" w:rsidR="005F3CFA" w:rsidRPr="00D87371" w:rsidRDefault="005F3CFA" w:rsidP="002B057E">
            <w:pPr>
              <w:widowControl w:val="0"/>
              <w:spacing w:before="29" w:line="250" w:lineRule="auto"/>
              <w:ind w:left="87" w:right="1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0DA1" w14:textId="77777777" w:rsidR="005F3CFA" w:rsidRPr="00D87371" w:rsidRDefault="005F3CFA" w:rsidP="002B057E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8937" w14:textId="77777777" w:rsidR="005F3CFA" w:rsidRPr="00D87371" w:rsidRDefault="005F3CFA" w:rsidP="002B057E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</w:p>
          <w:p w14:paraId="3142F7DF" w14:textId="77777777" w:rsidR="005F3CFA" w:rsidRPr="00D87371" w:rsidRDefault="005F3CFA" w:rsidP="002B057E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5F3CFA" w:rsidRPr="00D87371" w14:paraId="37BF0FC3" w14:textId="77777777" w:rsidTr="00B461DF">
        <w:trPr>
          <w:cantSplit/>
          <w:trHeight w:hRule="exact" w:val="326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44A49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08B2B50E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- 30 бал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D88817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C86C" w14:textId="77777777" w:rsidR="005F3CFA" w:rsidRPr="002C3B1F" w:rsidRDefault="005F3CFA" w:rsidP="002B057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</w:p>
          <w:p w14:paraId="76BAD0EA" w14:textId="77777777" w:rsidR="005F3CFA" w:rsidRPr="00D87371" w:rsidRDefault="005F3CFA" w:rsidP="002B057E">
            <w:pPr>
              <w:spacing w:after="0" w:line="257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A09C" w14:textId="77777777" w:rsidR="005F3CFA" w:rsidRPr="00D87371" w:rsidRDefault="005F3CFA" w:rsidP="002B057E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6765" w14:textId="77777777" w:rsidR="005F3CFA" w:rsidRPr="00D87371" w:rsidRDefault="005F3CFA" w:rsidP="002B057E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8F17" w14:textId="77777777" w:rsidR="005F3CFA" w:rsidRPr="00D87371" w:rsidRDefault="005F3CFA" w:rsidP="002B057E">
            <w:pPr>
              <w:widowControl w:val="0"/>
              <w:spacing w:before="29" w:line="250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59DF" w14:textId="77777777" w:rsidR="005F3CFA" w:rsidRPr="00D87371" w:rsidRDefault="005F3CFA" w:rsidP="002B057E">
            <w:pPr>
              <w:widowControl w:val="0"/>
              <w:spacing w:before="9" w:line="239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338084CC" w14:textId="77777777" w:rsidR="005F3CFA" w:rsidRPr="00D87371" w:rsidRDefault="005F3CFA" w:rsidP="002B057E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5635" w14:textId="77777777" w:rsidR="005F3CFA" w:rsidRPr="00D87371" w:rsidRDefault="005F3CFA" w:rsidP="002B057E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37CC83E2" w14:textId="77777777" w:rsidR="005F3CFA" w:rsidRPr="00D87371" w:rsidRDefault="005F3CFA" w:rsidP="005F3CFA">
      <w:pPr>
        <w:rPr>
          <w:rFonts w:ascii="Times New Roman" w:hAnsi="Times New Roman" w:cs="Times New Roman"/>
          <w:sz w:val="20"/>
          <w:szCs w:val="20"/>
        </w:rPr>
        <w:sectPr w:rsidR="005F3CFA" w:rsidRPr="00D87371" w:rsidSect="00A05F0F">
          <w:pgSz w:w="16838" w:h="11906" w:orient="landscape"/>
          <w:pgMar w:top="1291" w:right="825" w:bottom="850" w:left="571" w:header="0" w:footer="0" w:gutter="0"/>
          <w:cols w:space="708"/>
          <w:docGrid w:linePitch="299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5F3CFA" w:rsidRPr="00D87371" w14:paraId="7344B1B0" w14:textId="77777777" w:rsidTr="002B057E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C38FD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70530B1D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</w:p>
          <w:p w14:paraId="3CDE4322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- 40 балл </w:t>
            </w:r>
          </w:p>
          <w:p w14:paraId="35C242E6" w14:textId="77777777" w:rsidR="005F3CFA" w:rsidRPr="00D87371" w:rsidRDefault="005F3CFA" w:rsidP="002B057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3955" w14:textId="77777777" w:rsidR="005F3CFA" w:rsidRPr="002C3B1F" w:rsidRDefault="005F3CFA" w:rsidP="002B0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</w:p>
          <w:p w14:paraId="5CDD7288" w14:textId="77777777" w:rsidR="005F3CFA" w:rsidRPr="002C3B1F" w:rsidRDefault="005F3CFA" w:rsidP="002B057E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2C3B1F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367FA09A" w14:textId="77777777" w:rsidR="005F3CFA" w:rsidRPr="002C3B1F" w:rsidRDefault="005F3CFA" w:rsidP="002B057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FB93" w14:textId="77777777" w:rsidR="005F3CFA" w:rsidRPr="0057396C" w:rsidRDefault="005F3CFA" w:rsidP="002B057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291E" w14:textId="77777777" w:rsidR="005F3CFA" w:rsidRPr="0057396C" w:rsidRDefault="005F3CFA" w:rsidP="002B057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64142" w14:textId="77777777" w:rsidR="005F3CFA" w:rsidRPr="0057396C" w:rsidRDefault="005F3CFA" w:rsidP="002B057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26742" w14:textId="77777777" w:rsidR="005F3CFA" w:rsidRPr="0057396C" w:rsidRDefault="005F3CFA" w:rsidP="002B057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0034" w14:textId="77777777" w:rsidR="005F3CFA" w:rsidRPr="00D87371" w:rsidRDefault="005F3CFA" w:rsidP="002B057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2D61B53C" w14:textId="77777777" w:rsidR="005F3CFA" w:rsidRPr="00D87371" w:rsidRDefault="005F3CFA" w:rsidP="005F3CFA">
      <w:pPr>
        <w:rPr>
          <w:rFonts w:ascii="Times New Roman" w:hAnsi="Times New Roman" w:cs="Times New Roman"/>
          <w:sz w:val="20"/>
          <w:szCs w:val="20"/>
        </w:rPr>
      </w:pPr>
    </w:p>
    <w:p w14:paraId="187281DC" w14:textId="77777777" w:rsidR="005F3CFA" w:rsidRPr="00D87371" w:rsidRDefault="005F3CFA" w:rsidP="005F3CFA">
      <w:pPr>
        <w:rPr>
          <w:rFonts w:ascii="Times New Roman" w:hAnsi="Times New Roman" w:cs="Times New Roman"/>
          <w:sz w:val="20"/>
          <w:szCs w:val="20"/>
        </w:rPr>
      </w:pPr>
    </w:p>
    <w:p w14:paraId="7BEC9E33" w14:textId="77777777" w:rsidR="005F3CFA" w:rsidRPr="006A4B93" w:rsidRDefault="005F3CFA" w:rsidP="005F3CF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7DFD18" w14:textId="77777777" w:rsidR="005F3CFA" w:rsidRPr="006A4B93" w:rsidRDefault="005F3CFA" w:rsidP="005F3CFA">
      <w:pP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</w:pP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40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</w:p>
    <w:p w14:paraId="5779A7C4" w14:textId="77777777" w:rsidR="00FB0DA9" w:rsidRPr="005F3CFA" w:rsidRDefault="00FB0DA9" w:rsidP="005D6778">
      <w:pPr>
        <w:rPr>
          <w:lang w:val="kk-KZ"/>
        </w:rPr>
      </w:pPr>
    </w:p>
    <w:p w14:paraId="0C553D4F" w14:textId="77777777" w:rsidR="005F3CFA" w:rsidRDefault="005F3CFA" w:rsidP="005D6778"/>
    <w:p w14:paraId="38B18889" w14:textId="77777777" w:rsidR="005F3CFA" w:rsidRDefault="005F3CFA" w:rsidP="005D6778"/>
    <w:p w14:paraId="7736FA30" w14:textId="77777777" w:rsidR="005F3CFA" w:rsidRDefault="005F3CFA" w:rsidP="005D6778"/>
    <w:p w14:paraId="23C32743" w14:textId="77777777" w:rsidR="005F3CFA" w:rsidRDefault="005F3CFA" w:rsidP="005D6778"/>
    <w:p w14:paraId="184CD461" w14:textId="77777777" w:rsidR="005F3CFA" w:rsidRDefault="005F3CFA" w:rsidP="005D6778"/>
    <w:p w14:paraId="787AD643" w14:textId="77777777" w:rsidR="005F3CFA" w:rsidRDefault="005F3CFA" w:rsidP="005D6778"/>
    <w:p w14:paraId="4D2D93B1" w14:textId="77777777" w:rsidR="005F3CFA" w:rsidRDefault="005F3CFA" w:rsidP="005D6778"/>
    <w:p w14:paraId="3E37077F" w14:textId="77777777" w:rsidR="005F3CFA" w:rsidRDefault="005F3CFA" w:rsidP="005D6778"/>
    <w:sdt>
      <w:sdtPr>
        <w:id w:val="-8773120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sdtEndPr>
      <w:sdtContent>
        <w:p w14:paraId="69999BCC" w14:textId="6A96CA0D" w:rsidR="005D6778" w:rsidRDefault="005D6778" w:rsidP="005D6778">
          <w:pP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  <w:t>Негізгі  әдебиеттер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:</w:t>
          </w:r>
        </w:p>
        <w:p w14:paraId="44FADB8B" w14:textId="77777777" w:rsidR="005D6778" w:rsidRDefault="005D6778" w:rsidP="005D6778">
          <w:pPr>
            <w:tabs>
              <w:tab w:val="left" w:pos="0"/>
            </w:tabs>
            <w:autoSpaceDE w:val="0"/>
            <w:autoSpaceDN w:val="0"/>
            <w:adjustRightInd w:val="0"/>
            <w:spacing w:line="240" w:lineRule="auto"/>
            <w:contextualSpacing/>
            <w:rPr>
              <w:rFonts w:eastAsiaTheme="minorEastAsia"/>
              <w:color w:val="000000" w:themeColor="text1"/>
              <w:kern w:val="0"/>
              <w:sz w:val="21"/>
              <w:szCs w:val="21"/>
              <w:lang w:val="kk-KZ" w:eastAsia="ru-RU"/>
              <w14:ligatures w14:val="none"/>
            </w:rPr>
          </w:pPr>
          <w:r>
            <w:rPr>
              <w:rFonts w:ascii="Times New Roman" w:hAnsi="Times New Roman" w:cs="Times New Roman"/>
              <w:color w:val="000000"/>
              <w:kern w:val="0"/>
              <w:sz w:val="20"/>
              <w:szCs w:val="20"/>
              <w:shd w:val="clear" w:color="auto" w:fill="FFFFFF"/>
              <w:lang w:val="kk-KZ"/>
              <w14:ligatures w14:val="none"/>
            </w:rPr>
            <w:t>1.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 xml:space="preserve"> Қасым-Жомарт </w:t>
          </w:r>
          <w:r>
            <w:rPr>
              <w:color w:val="000000" w:themeColor="text1"/>
              <w:kern w:val="0"/>
              <w:sz w:val="21"/>
              <w:szCs w:val="21"/>
              <w:lang w:val="kk-KZ"/>
              <w14:ligatures w14:val="none"/>
            </w:rPr>
            <w:t>Тоқаев ""Әділетті Қазақстан: заң мен тәртіп, экономикалық өсім,  қоғамдық оптимизм"</w:t>
          </w:r>
          <w:r>
            <w:rPr>
              <w:rFonts w:eastAsiaTheme="minorEastAsia"/>
              <w:color w:val="000000" w:themeColor="text1"/>
              <w:kern w:val="0"/>
              <w:sz w:val="21"/>
              <w:szCs w:val="21"/>
              <w:lang w:val="kk-KZ" w:eastAsia="ru-RU"/>
              <w14:ligatures w14:val="none"/>
            </w:rPr>
            <w:t xml:space="preserve"> -Астана, 2024 ж. 2 қыркүйек</w:t>
          </w:r>
        </w:p>
        <w:p w14:paraId="66C535B1" w14:textId="77777777" w:rsidR="005D6778" w:rsidRDefault="005D6778" w:rsidP="005D6778">
          <w:pPr>
            <w:tabs>
              <w:tab w:val="left" w:pos="0"/>
            </w:tabs>
            <w:autoSpaceDE w:val="0"/>
            <w:autoSpaceDN w:val="0"/>
            <w:adjustRightInd w:val="0"/>
            <w:spacing w:line="240" w:lineRule="auto"/>
            <w:contextualSpacing/>
            <w:rPr>
              <w:rFonts w:ascii="Times New Roman" w:hAnsi="Times New Roman" w:cs="Times New Roman"/>
              <w:b/>
              <w:bCs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eastAsiaTheme="minorEastAsia"/>
              <w:color w:val="000000" w:themeColor="text1"/>
              <w:kern w:val="0"/>
              <w:sz w:val="21"/>
              <w:szCs w:val="21"/>
              <w:lang w:eastAsia="ru-RU"/>
              <w14:ligatures w14:val="none"/>
            </w:rPr>
            <w:t>2.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  <w:t xml:space="preserve"> Қазақстан Республикасының Конститутциясы-Астана: Елорда, 2008-56 б.</w:t>
          </w:r>
        </w:p>
        <w:p w14:paraId="36A9AB1B" w14:textId="77777777" w:rsidR="005D6778" w:rsidRDefault="005D6778" w:rsidP="005D6778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hanging="357"/>
            <w:contextualSpacing/>
            <w:rPr>
              <w:rFonts w:ascii="Times New Roman" w:hAnsi="Times New Roman" w:cs="Times New Roman"/>
              <w:color w:val="000000" w:themeColor="text1"/>
              <w:sz w:val="20"/>
              <w:szCs w:val="20"/>
              <w:u w:val="single"/>
              <w:lang w:val="kk-KZ"/>
            </w:rPr>
          </w:pPr>
          <w:r>
            <w:rPr>
              <w:rFonts w:ascii="Times New Roman" w:eastAsiaTheme="minorEastAsia" w:hAnsi="Times New Roman" w:cs="Times New Roman"/>
              <w:color w:val="000000" w:themeColor="text1"/>
              <w:sz w:val="20"/>
              <w:szCs w:val="20"/>
              <w:lang w:val="kk-KZ" w:eastAsia="ru-RU"/>
            </w:rPr>
            <w:t xml:space="preserve">3.Қазақстан Республикасын индустриялық-инновациялық дамытудың 2020 – 2025 жылдарға арналған тұжырымдамасы. </w:t>
          </w:r>
          <w:r>
            <w:rPr>
              <w:rFonts w:ascii="Times New Roman" w:eastAsia="Times New Roman" w:hAnsi="Times New Roman" w:cs="Times New Roman"/>
              <w:color w:val="000000" w:themeColor="text1"/>
              <w:spacing w:val="2"/>
              <w:sz w:val="20"/>
              <w:szCs w:val="20"/>
              <w:lang w:val="kk-KZ" w:eastAsia="kk-KZ"/>
            </w:rPr>
            <w:t xml:space="preserve">ҚР Үкіметінің 2018 жылғы 20 желтоқсандағы № 846 қаулысы. </w:t>
          </w:r>
          <w:hyperlink r:id="rId5" w:history="1">
            <w:r>
              <w:rPr>
                <w:rStyle w:val="ae"/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www.adilet.zan.kz</w:t>
            </w:r>
          </w:hyperlink>
        </w:p>
        <w:p w14:paraId="2616028D" w14:textId="77777777" w:rsidR="005D6778" w:rsidRDefault="005D6778" w:rsidP="005D6778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hanging="357"/>
            <w:contextualSpacing/>
            <w:rPr>
              <w:rFonts w:ascii="Times New Roman" w:eastAsiaTheme="minorEastAsia" w:hAnsi="Times New Roman" w:cs="Times New Roman"/>
              <w:color w:val="000000" w:themeColor="text1"/>
              <w:sz w:val="20"/>
              <w:szCs w:val="20"/>
              <w:u w:val="single"/>
              <w:lang w:val="kk-KZ" w:eastAsia="ru-RU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pacing w:val="2"/>
              <w:sz w:val="20"/>
              <w:szCs w:val="20"/>
              <w:lang w:val="kk-KZ" w:eastAsia="kk-KZ"/>
            </w:rPr>
            <w:t>4. Қазақстан Республикасының тұрақты дамуының 2007-2024 жж. арналған тұжырымдамасы</w:t>
          </w:r>
          <w:r>
            <w:rPr>
              <w:rFonts w:ascii="Times New Roman" w:eastAsiaTheme="minorEastAsia" w:hAnsi="Times New Roman" w:cs="Times New Roman"/>
              <w:color w:val="000000" w:themeColor="text1"/>
              <w:sz w:val="20"/>
              <w:szCs w:val="20"/>
              <w:lang w:val="kk-KZ" w:eastAsia="ru-RU"/>
            </w:rPr>
            <w:t>//</w:t>
          </w:r>
          <w:r>
            <w:rPr>
              <w:rFonts w:ascii="Times New Roman" w:eastAsia="Times New Roman" w:hAnsi="Times New Roman" w:cs="Times New Roman"/>
              <w:color w:val="000000" w:themeColor="text1"/>
              <w:spacing w:val="2"/>
              <w:sz w:val="20"/>
              <w:szCs w:val="20"/>
              <w:lang w:val="kk-KZ" w:eastAsia="kk-KZ"/>
            </w:rPr>
            <w:t>Қазақстан Республикасы Үкіметінің 2018 жылғы 14 қараша № 216 Жарлығы</w:t>
          </w:r>
        </w:p>
        <w:p w14:paraId="356CA999" w14:textId="77777777" w:rsidR="005D6778" w:rsidRDefault="005D6778" w:rsidP="005D6778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</w:r>
        </w:p>
        <w:p w14:paraId="24B32C46" w14:textId="77777777" w:rsidR="005D6778" w:rsidRDefault="005D6778" w:rsidP="005D6778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Мемлекеттік қызмет туралы Заңы//Қазақстан Республикасы Президентінің 2015 жылғы 23қарашадағы  №416 -V ҚРЗ</w:t>
          </w:r>
        </w:p>
        <w:p w14:paraId="08B63D2B" w14:textId="77777777" w:rsidR="005D6778" w:rsidRDefault="005D6778" w:rsidP="005D6778">
          <w:pPr>
            <w:numPr>
              <w:ilvl w:val="0"/>
              <w:numId w:val="4"/>
            </w:numPr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    </w:r>
        </w:p>
        <w:p w14:paraId="525555E3" w14:textId="77777777" w:rsidR="005D6778" w:rsidRDefault="005D6778" w:rsidP="005D6778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    </w:r>
        </w:p>
        <w:p w14:paraId="2ECCD94E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9.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2023- 432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.</w:t>
          </w:r>
        </w:p>
        <w:p w14:paraId="03B95823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14:ligatures w14:val="none"/>
            </w:rPr>
            <w:t xml:space="preserve">10. Антонов Г. Д., </w:t>
          </w:r>
          <w:proofErr w:type="spellStart"/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14:ligatures w14:val="none"/>
            </w:rPr>
            <w:t>Тумин</w:t>
          </w:r>
          <w:proofErr w:type="spellEnd"/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14:ligatures w14:val="none"/>
            </w:rPr>
            <w:t xml:space="preserve"> В. М., Иванова О. П.</w:t>
          </w: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 xml:space="preserve"> Стратегическое управление организацией- М.: ИНФРА-М, 2023-239 с.</w:t>
          </w:r>
        </w:p>
        <w:p w14:paraId="7876DF2C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11.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Анцупов А.Я. Стратегическое управление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-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М.: Проспект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, 2022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 -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344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.</w:t>
          </w:r>
        </w:p>
        <w:p w14:paraId="035C9E7D" w14:textId="77777777" w:rsidR="005D6778" w:rsidRDefault="005D6778" w:rsidP="005D6778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12.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Баринов В.А.. Бусалов Д.Ю. Стратегический менеджмент-М.: ИНФРА-М, 2022-496 с.</w:t>
          </w:r>
        </w:p>
        <w:p w14:paraId="1338CC7F" w14:textId="77777777" w:rsidR="005D6778" w:rsidRDefault="005D6778" w:rsidP="005D6778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13.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Веснин В.Р. Стратегическое управление-Санкт-Петербург: Питер, 2024-256 с.</w:t>
          </w:r>
        </w:p>
        <w:p w14:paraId="0509E8A0" w14:textId="77777777" w:rsidR="005D6778" w:rsidRDefault="005D6778" w:rsidP="005D6778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lang w:val="kk-KZ"/>
            </w:rPr>
    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    </w:r>
        </w:p>
        <w:p w14:paraId="682DF659" w14:textId="77777777" w:rsidR="005D6778" w:rsidRDefault="005D6778" w:rsidP="005D6778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15. </w:t>
          </w:r>
          <w:proofErr w:type="spellStart"/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Гайнанов</w:t>
          </w:r>
          <w:proofErr w:type="spellEnd"/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 Д. А., Атаева А. Г., Закиров И. Д.</w:t>
          </w:r>
          <w:r>
            <w:rPr>
              <w:rFonts w:ascii="Times New Roman" w:eastAsia="Times New Roman" w:hAnsi="Times New Roman" w:cs="Times New Roman"/>
              <w:color w:val="1682BF"/>
              <w:kern w:val="36"/>
              <w:sz w:val="24"/>
              <w:szCs w:val="24"/>
              <w:lang w:eastAsia="ru-RU"/>
              <w14:ligatures w14:val="none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 w:themeColor="text1"/>
              <w:kern w:val="36"/>
              <w:sz w:val="24"/>
              <w:szCs w:val="24"/>
              <w:lang w:eastAsia="ru-RU"/>
              <w14:ligatures w14:val="none"/>
            </w:rPr>
            <w:t>Теория и механизмы современного государственного управления</w:t>
          </w:r>
          <w:r>
            <w:rPr>
              <w:rFonts w:ascii="Times New Roman" w:eastAsia="Times New Roman" w:hAnsi="Times New Roman" w:cs="Times New Roman"/>
              <w:color w:val="000000" w:themeColor="text1"/>
              <w:kern w:val="36"/>
              <w:sz w:val="24"/>
              <w:szCs w:val="24"/>
              <w:lang w:val="kk-KZ" w:eastAsia="ru-RU"/>
              <w14:ligatures w14:val="none"/>
            </w:rPr>
            <w:t xml:space="preserve">-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 xml:space="preserve"> М.: ИНФРА-М, 2025-288 с.</w:t>
          </w:r>
        </w:p>
        <w:p w14:paraId="4650A553" w14:textId="77777777" w:rsidR="005D6778" w:rsidRDefault="005D6778" w:rsidP="005D6778">
          <w:pPr>
            <w:tabs>
              <w:tab w:val="left" w:pos="0"/>
              <w:tab w:val="left" w:pos="317"/>
            </w:tabs>
            <w:autoSpaceDE w:val="0"/>
            <w:autoSpaceDN w:val="0"/>
            <w:adjustRightInd w:val="0"/>
            <w:spacing w:line="240" w:lineRule="auto"/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</w:pPr>
          <w:r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eastAsia="ru-RU"/>
              <w14:ligatures w14:val="none"/>
            </w:rPr>
            <w:t>16</w:t>
          </w:r>
          <w:r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val="kk-KZ" w:eastAsia="ru-RU"/>
              <w14:ligatures w14:val="none"/>
            </w:rPr>
            <w:t xml:space="preserve">. </w:t>
          </w:r>
          <w:r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  <w:t>Жатканбаев Е.Б. Государственное регулирование экономики: курс лекций. – Алматы: Қазақ университеті, 2021 – 206 с.</w:t>
          </w:r>
        </w:p>
        <w:p w14:paraId="1EE337B2" w14:textId="77777777" w:rsidR="005D6778" w:rsidRDefault="005D6778" w:rsidP="005D6778">
          <w:pPr>
            <w:tabs>
              <w:tab w:val="left" w:pos="0"/>
              <w:tab w:val="left" w:pos="317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val="kk-KZ" w:eastAsia="ru-RU"/>
              <w14:ligatures w14:val="none"/>
            </w:rPr>
          </w:pPr>
          <w:r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  <w:t>17. Жатқанбаев Е.Б., Смағулова Г.С. Экономиканы мемлекеттік реттеу- Алматы: Қазақ университеті, 2023 – 200 б.</w:t>
          </w:r>
        </w:p>
        <w:p w14:paraId="0DDC79A4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14:ligatures w14:val="none"/>
            </w:rPr>
            <w:t>18. Каплан Р.С., Нортон Д.П</w:t>
          </w: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.  Сбалансированная система показателей - М.</w:t>
          </w: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14:ligatures w14:val="none"/>
            </w:rPr>
            <w:t>: Олимп-Бизнес</w:t>
          </w: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, 2024-320 с.</w:t>
          </w:r>
        </w:p>
        <w:p w14:paraId="5E33311D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19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Котлер Филип, Армстронг Гари. Маркетинг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негіздері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 Алматы: «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Ұлттық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аударма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бюросы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»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қоғамдық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қоры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, 2019.- 736 б.</w:t>
          </w:r>
        </w:p>
        <w:p w14:paraId="6CF009A3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20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Круглов Д.В., Резникова О.С., Цыганкова И.В.  Стратегическое управление персоналом-М.: Юрайт, 2024. – 168 с.</w:t>
          </w:r>
        </w:p>
        <w:p w14:paraId="4FAEA5D4" w14:textId="77777777" w:rsidR="005D6778" w:rsidRDefault="005D6778" w:rsidP="005D6778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="Times New Roman" w:hAnsi="Times New Roman" w:cs="Times New Roman"/>
              <w:color w:val="101112"/>
              <w:kern w:val="36"/>
              <w:sz w:val="24"/>
              <w:szCs w:val="24"/>
              <w:lang w:val="kk-KZ" w:eastAsia="ru-RU"/>
              <w14:ligatures w14:val="none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2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1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.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 xml:space="preserve">Матвеева И., Нарциссова Н., Нильс Бикхофф </w:t>
          </w:r>
          <w:r>
            <w:rPr>
              <w:rFonts w:ascii="Times New Roman" w:eastAsia="Times New Roman" w:hAnsi="Times New Roman" w:cs="Times New Roman"/>
              <w:color w:val="101112"/>
              <w:kern w:val="36"/>
              <w:sz w:val="24"/>
              <w:szCs w:val="24"/>
              <w:lang w:eastAsia="ru-RU"/>
              <w14:ligatures w14:val="none"/>
            </w:rPr>
            <w:t>Стратегический менеджмент по Котлеру. Лучшие приемы и методы</w:t>
          </w:r>
          <w:r>
            <w:rPr>
              <w:rFonts w:ascii="Times New Roman" w:eastAsia="Times New Roman" w:hAnsi="Times New Roman" w:cs="Times New Roman"/>
              <w:color w:val="101112"/>
              <w:kern w:val="36"/>
              <w:sz w:val="24"/>
              <w:szCs w:val="24"/>
              <w:lang w:val="kk-KZ" w:eastAsia="ru-RU"/>
              <w14:ligatures w14:val="none"/>
            </w:rPr>
            <w:t>-М.: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 </w:t>
          </w:r>
          <w:hyperlink r:id="rId6" w:history="1">
            <w:r>
              <w:rPr>
                <w:rStyle w:val="ae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ligatures w14:val="none"/>
              </w:rPr>
              <w:t>Альпина Паблишер</w:t>
            </w:r>
          </w:hyperlink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, 2023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-134 с.</w:t>
          </w:r>
        </w:p>
        <w:p w14:paraId="7A1C9A57" w14:textId="77777777" w:rsidR="005D6778" w:rsidRDefault="005D6778" w:rsidP="005D6778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2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2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. Резник С.Д., Вдовина О.А., Сазыкина О.А.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 xml:space="preserve"> Стратегия кадрового менеджмента - М.: ИНФРА-М, 2024-211 с.</w:t>
          </w:r>
        </w:p>
        <w:p w14:paraId="365A0420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3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Роберт М.Грант Современный стратегический анализ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–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Санкт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-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Петербург: Питер.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-1058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.</w:t>
          </w:r>
        </w:p>
        <w:p w14:paraId="365D17AB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4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Розенбаум-Эллиотт, Ричард Стратегиялық бренд менеджмент-Астана:: Ұлттық аударма бюросы, 2020-365 б.</w:t>
          </w:r>
        </w:p>
        <w:p w14:paraId="2C61BF02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5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Ружанская</w:t>
          </w:r>
          <w:proofErr w:type="spellEnd"/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, Л. С.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, Якимова Е.А., Зубакина Д.А.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 Стратегический менеджмент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-Екатеринбург: Урал. Университет, 2019-112 с.</w:t>
          </w:r>
        </w:p>
        <w:p w14:paraId="3CE978EF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lastRenderedPageBreak/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6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2024-154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.</w:t>
          </w:r>
        </w:p>
        <w:p w14:paraId="63D12E0E" w14:textId="77777777" w:rsidR="005D6778" w:rsidRDefault="005D6778" w:rsidP="005D6778">
          <w:pPr>
            <w:shd w:val="clear" w:color="auto" w:fill="FFFFFF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color w:val="70778F"/>
              <w:spacing w:val="6"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7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Шетил Сандермоен   Организационная структура Реализация стратегии на практике М.: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 </w:t>
          </w:r>
          <w:hyperlink r:id="rId7" w:history="1">
            <w:r>
              <w:rPr>
                <w:rStyle w:val="ae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ligatures w14:val="none"/>
              </w:rPr>
              <w:t>Альпина Паблишер</w:t>
            </w:r>
          </w:hyperlink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, 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14:ligatures w14:val="none"/>
            </w:rPr>
            <w:t>2022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-210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с.</w:t>
          </w:r>
          <w:r>
            <w:rPr>
              <w:rFonts w:ascii="Times New Roman" w:eastAsia="Times New Roman" w:hAnsi="Times New Roman" w:cs="Times New Roman"/>
              <w:color w:val="70778F"/>
              <w:spacing w:val="6"/>
              <w:kern w:val="0"/>
              <w:sz w:val="24"/>
              <w:szCs w:val="24"/>
              <w:lang w:eastAsia="ru-RU"/>
              <w14:ligatures w14:val="none"/>
            </w:rPr>
            <w:br/>
          </w:r>
        </w:p>
        <w:p w14:paraId="6AE0C8FE" w14:textId="77777777" w:rsidR="005D6778" w:rsidRDefault="005D6778" w:rsidP="005D6778">
          <w:pP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</w:p>
        <w:p w14:paraId="4C8BA66B" w14:textId="77777777" w:rsidR="005D6778" w:rsidRDefault="005D6778" w:rsidP="005D6778">
          <w:pP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</w:pPr>
        </w:p>
        <w:p w14:paraId="247C3150" w14:textId="77777777" w:rsidR="005D6778" w:rsidRDefault="005D6778" w:rsidP="005D6778">
          <w:pP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  <w:t>Қосымша әдебиеттер:</w:t>
          </w:r>
        </w:p>
        <w:p w14:paraId="4B7C86C1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    </w:r>
        </w:p>
        <w:p w14:paraId="034A78E7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2. Оксфорд  экономика сөздігі  = A Dictionary of Economics (Oxford Quick Reference) : сөздік  -Алматы : "Ұлттық аударма бюросы" ҚҚ, 2019 - 606 б.</w:t>
          </w:r>
        </w:p>
        <w:p w14:paraId="5B0CE0C7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3.Уилтон, Ник. HR-менеджментке кіріспе = An Introduction to Human Resource Management - Алматы: "Ұлттық аударма бюросы" ҚҚ, 2019. — 531 б.</w:t>
          </w:r>
        </w:p>
        <w:p w14:paraId="1818083E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4. Р. У. Гриффин Менеджмент = Management  - Астана: "Ұлттық аударма бюросы" ҚҚ, 2018 - 766 б.</w:t>
          </w:r>
        </w:p>
        <w:p w14:paraId="6D00E3C0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</w:r>
        </w:p>
        <w:p w14:paraId="562E238D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    </w:r>
        </w:p>
        <w:p w14:paraId="4316BA27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1"/>
              <w:szCs w:val="21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7. О’Лири, Зина. Зерттеу жобасын жүргізу: негізгі нұсқаулық : монография - Алматы: "Ұлттық аударма бюросы" ҚҚ, 2020 - 470 б</w:t>
          </w:r>
        </w:p>
        <w:p w14:paraId="59F05384" w14:textId="77777777" w:rsidR="005D6778" w:rsidRDefault="005D6778" w:rsidP="005D6778">
          <w:pPr>
            <w:rPr>
              <w:rFonts w:ascii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val="kk-KZ"/>
              <w14:ligatures w14:val="none"/>
            </w:rPr>
          </w:pPr>
        </w:p>
        <w:p w14:paraId="73C0D7A0" w14:textId="77777777" w:rsidR="005D6778" w:rsidRDefault="005D6778" w:rsidP="005D6778">
          <w:pPr>
            <w:rPr>
              <w:rFonts w:ascii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val="kk-KZ"/>
              <w14:ligatures w14:val="none"/>
            </w:rPr>
            <w:t>Интернет-ресурстар:</w:t>
          </w:r>
        </w:p>
        <w:p w14:paraId="481D0BD0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1.URL: </w:t>
          </w:r>
          <w:bookmarkStart w:id="19" w:name="_Hlk186465122"/>
          <w:r>
            <w:fldChar w:fldCharType="begin"/>
          </w:r>
          <w:r w:rsidRPr="005D6778">
            <w:rPr>
              <w:lang w:val="kk-KZ"/>
            </w:rPr>
            <w:instrText>HYPERLINK "https://urait.ru/bcode/544472" \t "_blank"</w:instrText>
          </w:r>
          <w:r>
            <w:fldChar w:fldCharType="separate"/>
          </w:r>
          <w:r>
            <w:rPr>
              <w:rStyle w:val="ae"/>
              <w:rFonts w:ascii="Times New Roman" w:hAnsi="Times New Roman" w:cs="Times New Roman"/>
              <w:color w:val="486C97"/>
              <w:kern w:val="0"/>
              <w:sz w:val="24"/>
              <w:szCs w:val="24"/>
              <w:bdr w:val="single" w:sz="2" w:space="0" w:color="E5E7EB" w:frame="1"/>
              <w:shd w:val="clear" w:color="auto" w:fill="FFFFFF"/>
              <w:lang w:val="kk-KZ"/>
              <w14:ligatures w14:val="none"/>
            </w:rPr>
            <w:t>https://urait.ru/bcode/544472</w:t>
          </w:r>
          <w:r>
            <w:fldChar w:fldCharType="end"/>
          </w: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 </w:t>
          </w:r>
          <w:bookmarkEnd w:id="19"/>
        </w:p>
        <w:p w14:paraId="1D5AF99D" w14:textId="77777777" w:rsidR="005D6778" w:rsidRDefault="005D6778" w:rsidP="005D6778">
          <w:pPr>
            <w:spacing w:line="240" w:lineRule="auto"/>
            <w:contextualSpacing/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GB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kk-KZ"/>
            </w:rPr>
            <w:t>2.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kk-KZ"/>
            </w:rPr>
            <w:t xml:space="preserve">  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URL: 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GB"/>
            </w:rPr>
            <w:t xml:space="preserve"> </w:t>
          </w:r>
          <w:hyperlink r:id="rId8" w:tgtFrame="_blank" w:history="1">
            <w:r>
              <w:rPr>
                <w:rStyle w:val="ae"/>
                <w:rFonts w:ascii="Times New Roman" w:hAnsi="Times New Roman" w:cs="Times New Roman"/>
                <w:color w:val="486C97"/>
                <w:sz w:val="24"/>
                <w:szCs w:val="24"/>
                <w:bdr w:val="single" w:sz="2" w:space="0" w:color="E5E7EB" w:frame="1"/>
                <w:shd w:val="clear" w:color="auto" w:fill="FFFFFF"/>
                <w:lang w:val="kk-KZ"/>
              </w:rPr>
              <w:t>https://urait.ru/bcode/</w:t>
            </w:r>
          </w:hyperlink>
          <w:r>
            <w:rPr>
              <w:rFonts w:ascii="Times New Roman" w:hAnsi="Times New Roman" w:cs="Times New Roman"/>
              <w:color w:val="486C97"/>
              <w:sz w:val="24"/>
              <w:szCs w:val="24"/>
              <w:u w:val="single"/>
              <w:bdr w:val="single" w:sz="2" w:space="0" w:color="E5E7EB" w:frame="1"/>
              <w:shd w:val="clear" w:color="auto" w:fill="FFFFFF"/>
              <w:lang w:val="en-GB"/>
            </w:rPr>
            <w:t>538640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 </w:t>
          </w:r>
        </w:p>
        <w:p w14:paraId="4626C7B6" w14:textId="77777777" w:rsidR="005D6778" w:rsidRDefault="005D6778" w:rsidP="005D6778">
          <w:pPr>
            <w:numPr>
              <w:ilvl w:val="0"/>
              <w:numId w:val="5"/>
            </w:numPr>
            <w:spacing w:after="0" w:line="240" w:lineRule="auto"/>
            <w:ind w:left="59" w:hanging="59"/>
            <w:contextualSpacing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shd w:val="clear" w:color="auto" w:fill="FFFFFF"/>
              <w:lang w:val="en-US"/>
            </w:rPr>
            <w:t>&lt;</w:t>
          </w:r>
          <w:hyperlink r:id="rId9" w:history="1">
            <w:r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https://journals.csu.ru/index.php/management/article/view/1614</w:t>
            </w:r>
          </w:hyperlink>
        </w:p>
        <w:p w14:paraId="58C87C7D" w14:textId="77777777" w:rsidR="005D6778" w:rsidRDefault="005D6778" w:rsidP="005D6778">
          <w:pPr>
            <w:numPr>
              <w:ilvl w:val="0"/>
              <w:numId w:val="5"/>
            </w:numPr>
            <w:spacing w:after="0" w:line="240" w:lineRule="auto"/>
            <w:ind w:left="59" w:hanging="59"/>
            <w:contextualSpacing/>
            <w:rPr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  <w:lang w:val="en-US"/>
            </w:rPr>
          </w:pP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US"/>
            </w:rPr>
            <w:t>IPR SMART : [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</w:rPr>
            <w:t>сайт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US"/>
            </w:rPr>
            <w:t>]. — URL: https://www.iprbookshop.ru/121365.htm</w:t>
          </w:r>
        </w:p>
        <w:p w14:paraId="1E5CAC6A" w14:textId="77777777" w:rsidR="005D6778" w:rsidRDefault="005D6778" w:rsidP="005D677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0"/>
              <w:sz w:val="20"/>
              <w:szCs w:val="20"/>
              <w:lang w:val="en-GB"/>
              <w14:ligatures w14:val="none"/>
            </w:rPr>
          </w:pPr>
        </w:p>
        <w:p w14:paraId="644F32A7" w14:textId="77777777" w:rsidR="005D6778" w:rsidRDefault="005D6778" w:rsidP="005D677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Зерттеушілік инфрақұрылымы</w:t>
          </w:r>
        </w:p>
        <w:p w14:paraId="4D5709D5" w14:textId="77777777" w:rsidR="005D6778" w:rsidRDefault="005D6778" w:rsidP="005D6778">
          <w:pPr>
            <w:spacing w:after="0" w:line="240" w:lineRule="auto"/>
            <w:rPr>
              <w:rFonts w:ascii="Times New Roman" w:eastAsia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1. Аудитория 220</w:t>
          </w:r>
        </w:p>
        <w:p w14:paraId="1F211011" w14:textId="77777777" w:rsidR="005D6778" w:rsidRDefault="005D6778" w:rsidP="005D6778">
          <w:pPr>
            <w:spacing w:after="0"/>
            <w:ind w:left="59"/>
            <w:contextualSpacing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kk-KZ"/>
            </w:rPr>
            <w:t>2.  Дәріс залы - 220</w:t>
          </w:r>
        </w:p>
        <w:p w14:paraId="77068033" w14:textId="64BF21F6" w:rsidR="00DD6BF5" w:rsidRDefault="00DD6BF5">
          <w:pPr>
            <w:spacing w:line="278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kk-KZ"/>
            </w:rPr>
          </w:pP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val="kk-KZ"/>
            </w:rPr>
            <w:br w:type="page"/>
          </w:r>
        </w:p>
      </w:sdtContent>
    </w:sdt>
    <w:p w14:paraId="016BC14D" w14:textId="77777777" w:rsidR="00DD6BF5" w:rsidRDefault="00DD6BF5" w:rsidP="00DD6B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DD6BF5" w:rsidSect="00A05F0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C4DCFA6" w14:textId="77777777" w:rsidR="00FB1736" w:rsidRPr="00DD6BF5" w:rsidRDefault="00FB1736" w:rsidP="00A05F0F">
      <w:pPr>
        <w:spacing w:after="0" w:line="240" w:lineRule="auto"/>
        <w:rPr>
          <w:lang w:val="kk-KZ"/>
        </w:rPr>
      </w:pPr>
    </w:p>
    <w:sectPr w:rsidR="00FB1736" w:rsidRPr="00DD6BF5" w:rsidSect="00DD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2A4"/>
    <w:multiLevelType w:val="multilevel"/>
    <w:tmpl w:val="425E7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12F62"/>
    <w:multiLevelType w:val="hybridMultilevel"/>
    <w:tmpl w:val="2812A8CA"/>
    <w:lvl w:ilvl="0" w:tplc="173CB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1F1F1F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D25A0"/>
    <w:multiLevelType w:val="multilevel"/>
    <w:tmpl w:val="3C9D25A0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50C1D"/>
    <w:multiLevelType w:val="multilevel"/>
    <w:tmpl w:val="61750C1D"/>
    <w:lvl w:ilvl="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05645">
    <w:abstractNumId w:val="1"/>
  </w:num>
  <w:num w:numId="2" w16cid:durableId="1220242235">
    <w:abstractNumId w:val="5"/>
  </w:num>
  <w:num w:numId="3" w16cid:durableId="1126001078">
    <w:abstractNumId w:val="4"/>
  </w:num>
  <w:num w:numId="4" w16cid:durableId="172707079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372858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050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53"/>
    <w:rsid w:val="00004AA5"/>
    <w:rsid w:val="000F2F06"/>
    <w:rsid w:val="00172CB2"/>
    <w:rsid w:val="00193B2A"/>
    <w:rsid w:val="00233853"/>
    <w:rsid w:val="002E7AA8"/>
    <w:rsid w:val="00317642"/>
    <w:rsid w:val="00387A81"/>
    <w:rsid w:val="004B63B5"/>
    <w:rsid w:val="005D6778"/>
    <w:rsid w:val="005F3CFA"/>
    <w:rsid w:val="0080217D"/>
    <w:rsid w:val="00924336"/>
    <w:rsid w:val="00A05F0F"/>
    <w:rsid w:val="00A24370"/>
    <w:rsid w:val="00B461DF"/>
    <w:rsid w:val="00C55DED"/>
    <w:rsid w:val="00DD6BF5"/>
    <w:rsid w:val="00F416A7"/>
    <w:rsid w:val="00FA2141"/>
    <w:rsid w:val="00FB0DA9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7649"/>
  <w15:chartTrackingRefBased/>
  <w15:docId w15:val="{06DF725C-F266-4A20-9E37-C03EFD20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F5"/>
    <w:pPr>
      <w:spacing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3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8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8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8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8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8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385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DD6BF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kk-KZ" w:eastAsia="kk-KZ" w:bidi="kk-KZ"/>
      <w14:ligatures w14:val="none"/>
    </w:rPr>
  </w:style>
  <w:style w:type="paragraph" w:styleId="ac">
    <w:name w:val="No Spacing"/>
    <w:link w:val="ad"/>
    <w:uiPriority w:val="1"/>
    <w:qFormat/>
    <w:rsid w:val="00DD6BF5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DD6BF5"/>
    <w:rPr>
      <w:rFonts w:eastAsiaTheme="minorEastAsia"/>
      <w:kern w:val="0"/>
      <w:sz w:val="22"/>
      <w:szCs w:val="22"/>
      <w:lang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5D67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4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ublish&amp;id=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als.csu.ru/index.php/management/article/view/1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12</cp:revision>
  <dcterms:created xsi:type="dcterms:W3CDTF">2024-12-22T10:14:00Z</dcterms:created>
  <dcterms:modified xsi:type="dcterms:W3CDTF">2025-01-04T04:46:00Z</dcterms:modified>
</cp:coreProperties>
</file>